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E118C" w14:textId="208D46CB" w:rsidR="0019036F" w:rsidRDefault="0019036F" w:rsidP="0019036F">
      <w:pPr>
        <w:jc w:val="right"/>
        <w:rPr>
          <w:rFonts w:asciiTheme="minorHAnsi" w:hAnsiTheme="minorHAnsi" w:cstheme="minorBidi"/>
          <w:b/>
          <w:sz w:val="22"/>
          <w:szCs w:val="22"/>
        </w:rPr>
      </w:pPr>
      <w:r w:rsidRPr="632F1D3A">
        <w:rPr>
          <w:rFonts w:asciiTheme="minorHAnsi" w:hAnsiTheme="minorHAnsi" w:cstheme="minorBidi"/>
          <w:b/>
          <w:sz w:val="22"/>
          <w:szCs w:val="22"/>
        </w:rPr>
        <w:t>PRILOGA D/</w:t>
      </w:r>
      <w:r w:rsidR="00DC1E61">
        <w:rPr>
          <w:rFonts w:asciiTheme="minorHAnsi" w:hAnsiTheme="minorHAnsi" w:cstheme="minorBidi"/>
          <w:b/>
          <w:sz w:val="22"/>
          <w:szCs w:val="22"/>
        </w:rPr>
        <w:t>4</w:t>
      </w:r>
    </w:p>
    <w:p w14:paraId="3723F1D1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79009D1D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27985899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1A8BB130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7C193C7A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6F31FD71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6BD4D242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5E9311B4" w14:textId="77777777" w:rsidR="0019036F" w:rsidRDefault="0019036F" w:rsidP="0019036F">
      <w:pPr>
        <w:rPr>
          <w:rFonts w:asciiTheme="minorHAnsi" w:hAnsiTheme="minorHAnsi" w:cstheme="minorBidi"/>
          <w:b/>
          <w:sz w:val="22"/>
          <w:szCs w:val="22"/>
        </w:rPr>
      </w:pPr>
    </w:p>
    <w:p w14:paraId="4B1B1D9A" w14:textId="77777777" w:rsidR="0019036F" w:rsidRDefault="0019036F" w:rsidP="0019036F">
      <w:pPr>
        <w:jc w:val="center"/>
        <w:rPr>
          <w:rFonts w:asciiTheme="minorHAnsi" w:hAnsiTheme="minorHAnsi" w:cstheme="minorBidi"/>
          <w:b/>
          <w:sz w:val="22"/>
          <w:szCs w:val="22"/>
        </w:rPr>
      </w:pPr>
      <w:r w:rsidRPr="632F1D3A">
        <w:rPr>
          <w:rFonts w:asciiTheme="minorHAnsi" w:hAnsiTheme="minorHAnsi" w:cstheme="minorBidi"/>
          <w:b/>
          <w:sz w:val="22"/>
          <w:szCs w:val="22"/>
        </w:rPr>
        <w:t xml:space="preserve">S.BON-1 </w:t>
      </w:r>
      <w:r>
        <w:rPr>
          <w:rFonts w:asciiTheme="minorHAnsi" w:hAnsiTheme="minorHAnsi" w:cstheme="minorHAnsi"/>
          <w:b/>
          <w:sz w:val="22"/>
          <w:szCs w:val="22"/>
        </w:rPr>
        <w:t>ali S.BON-1/P</w:t>
      </w:r>
      <w:r w:rsidRPr="00490D6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632F1D3A">
        <w:rPr>
          <w:rFonts w:asciiTheme="minorHAnsi" w:hAnsiTheme="minorHAnsi" w:cstheme="minorBidi"/>
          <w:b/>
          <w:sz w:val="22"/>
          <w:szCs w:val="22"/>
        </w:rPr>
        <w:t>obrazec in/ali potrdila bank in potrdilo o bonitetni oceni</w:t>
      </w:r>
    </w:p>
    <w:p w14:paraId="6A4B7668" w14:textId="77777777" w:rsidR="0019036F" w:rsidRDefault="0019036F" w:rsidP="0019036F">
      <w:pPr>
        <w:jc w:val="center"/>
        <w:rPr>
          <w:rFonts w:asciiTheme="minorHAnsi" w:hAnsiTheme="minorHAnsi" w:cstheme="minorBidi"/>
          <w:b/>
          <w:sz w:val="22"/>
          <w:szCs w:val="22"/>
        </w:rPr>
      </w:pPr>
    </w:p>
    <w:p w14:paraId="6C0A6F56" w14:textId="3B82E197" w:rsidR="0019036F" w:rsidRPr="00221586" w:rsidRDefault="0019036F" w:rsidP="0019036F">
      <w:pPr>
        <w:jc w:val="center"/>
        <w:rPr>
          <w:rFonts w:asciiTheme="minorHAnsi" w:hAnsiTheme="minorHAnsi" w:cstheme="minorBidi"/>
          <w:b/>
          <w:sz w:val="22"/>
          <w:szCs w:val="22"/>
        </w:rPr>
      </w:pPr>
      <w:r w:rsidRPr="632F1D3A">
        <w:rPr>
          <w:rFonts w:asciiTheme="minorHAnsi" w:hAnsiTheme="minorHAnsi" w:cstheme="minorBidi"/>
          <w:b/>
          <w:sz w:val="22"/>
          <w:szCs w:val="22"/>
        </w:rPr>
        <w:t xml:space="preserve">(v skladu s podtočko </w:t>
      </w:r>
      <w:r w:rsidR="00C91010">
        <w:rPr>
          <w:rFonts w:asciiTheme="minorHAnsi" w:hAnsiTheme="minorHAnsi" w:cstheme="minorBidi"/>
          <w:b/>
          <w:sz w:val="22"/>
          <w:szCs w:val="22"/>
        </w:rPr>
        <w:t>5</w:t>
      </w:r>
      <w:r w:rsidRPr="632F1D3A">
        <w:rPr>
          <w:rFonts w:asciiTheme="minorHAnsi" w:hAnsiTheme="minorHAnsi" w:cstheme="minorBidi"/>
          <w:b/>
          <w:sz w:val="22"/>
          <w:szCs w:val="22"/>
        </w:rPr>
        <w:t xml:space="preserve">, točke </w:t>
      </w:r>
      <w:r>
        <w:rPr>
          <w:rFonts w:asciiTheme="minorHAnsi" w:hAnsiTheme="minorHAnsi" w:cstheme="minorBidi"/>
          <w:b/>
          <w:sz w:val="22"/>
          <w:szCs w:val="22"/>
        </w:rPr>
        <w:t>2</w:t>
      </w:r>
      <w:r w:rsidR="00C91010">
        <w:rPr>
          <w:rFonts w:asciiTheme="minorHAnsi" w:hAnsiTheme="minorHAnsi" w:cstheme="minorBidi"/>
          <w:b/>
          <w:sz w:val="22"/>
          <w:szCs w:val="22"/>
        </w:rPr>
        <w:t>1</w:t>
      </w:r>
      <w:r w:rsidRPr="632F1D3A">
        <w:rPr>
          <w:rFonts w:asciiTheme="minorHAnsi" w:hAnsiTheme="minorHAnsi" w:cstheme="minorBidi"/>
          <w:b/>
          <w:sz w:val="22"/>
          <w:szCs w:val="22"/>
        </w:rPr>
        <w:t xml:space="preserve"> dokumentacije)</w:t>
      </w:r>
    </w:p>
    <w:p w14:paraId="675E243C" w14:textId="77777777" w:rsidR="0019036F" w:rsidRDefault="0019036F" w:rsidP="0019036F">
      <w:pPr>
        <w:tabs>
          <w:tab w:val="left" w:pos="4820"/>
        </w:tabs>
        <w:jc w:val="right"/>
        <w:rPr>
          <w:rFonts w:asciiTheme="minorHAnsi" w:eastAsia="Times New Roman" w:hAnsiTheme="minorHAnsi" w:cstheme="minorHAnsi"/>
          <w:b/>
          <w:bCs/>
          <w:sz w:val="22"/>
        </w:rPr>
      </w:pPr>
    </w:p>
    <w:p w14:paraId="5CA3837F" w14:textId="77777777" w:rsidR="002C616A" w:rsidRDefault="002C616A"/>
    <w:sectPr w:rsidR="002C61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B3B58" w14:textId="77777777" w:rsidR="0019036F" w:rsidRDefault="0019036F" w:rsidP="0019036F">
      <w:r>
        <w:separator/>
      </w:r>
    </w:p>
  </w:endnote>
  <w:endnote w:type="continuationSeparator" w:id="0">
    <w:p w14:paraId="0D3D5D61" w14:textId="77777777" w:rsidR="0019036F" w:rsidRDefault="0019036F" w:rsidP="0019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B55CD" w14:textId="77777777" w:rsidR="00E406C1" w:rsidRPr="00E406C1" w:rsidRDefault="00E406C1" w:rsidP="00E406C1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="Calibri" w:hAnsi="Calibri" w:cs="Calibri"/>
        <w:sz w:val="18"/>
        <w:szCs w:val="18"/>
      </w:rPr>
    </w:pPr>
    <w:r w:rsidRPr="00E406C1">
      <w:rPr>
        <w:rFonts w:ascii="Calibri" w:hAnsi="Calibri" w:cs="Calibri"/>
        <w:sz w:val="18"/>
        <w:szCs w:val="18"/>
      </w:rPr>
      <w:tab/>
    </w:r>
    <w:r w:rsidRPr="00E406C1">
      <w:rPr>
        <w:rFonts w:ascii="Calibri" w:hAnsi="Calibri" w:cs="Calibri"/>
        <w:sz w:val="18"/>
        <w:szCs w:val="18"/>
      </w:rPr>
      <w:tab/>
    </w:r>
    <w:r w:rsidRPr="00E406C1">
      <w:rPr>
        <w:rFonts w:ascii="Calibri" w:hAnsi="Calibri" w:cs="Calibri"/>
        <w:sz w:val="18"/>
        <w:szCs w:val="18"/>
      </w:rPr>
      <w:tab/>
    </w:r>
  </w:p>
  <w:p w14:paraId="65378C09" w14:textId="77777777" w:rsidR="00E406C1" w:rsidRPr="00E406C1" w:rsidRDefault="00E406C1" w:rsidP="00E406C1">
    <w:pPr>
      <w:tabs>
        <w:tab w:val="center" w:pos="4536"/>
        <w:tab w:val="right" w:pos="9072"/>
      </w:tabs>
      <w:rPr>
        <w:rFonts w:ascii="Calibri" w:hAnsi="Calibri" w:cs="Calibri"/>
        <w:i/>
        <w:color w:val="000000"/>
        <w:sz w:val="18"/>
        <w:szCs w:val="18"/>
      </w:rPr>
    </w:pPr>
    <w:r w:rsidRPr="00E406C1">
      <w:rPr>
        <w:rFonts w:ascii="Calibri" w:hAnsi="Calibri" w:cs="Calibri"/>
        <w:i/>
        <w:color w:val="000000"/>
        <w:sz w:val="18"/>
        <w:szCs w:val="18"/>
      </w:rPr>
      <w:t xml:space="preserve">ELEKTRO GORENJSKA, </w:t>
    </w:r>
    <w:proofErr w:type="spellStart"/>
    <w:r w:rsidRPr="00E406C1">
      <w:rPr>
        <w:rFonts w:ascii="Calibri" w:hAnsi="Calibri" w:cs="Calibri"/>
        <w:i/>
        <w:color w:val="000000"/>
        <w:sz w:val="18"/>
        <w:szCs w:val="18"/>
      </w:rPr>
      <w:t>d.d</w:t>
    </w:r>
    <w:proofErr w:type="spellEnd"/>
    <w:r w:rsidRPr="00E406C1">
      <w:rPr>
        <w:rFonts w:ascii="Calibri" w:hAnsi="Calibri" w:cs="Calibri"/>
        <w:i/>
        <w:color w:val="000000"/>
        <w:sz w:val="18"/>
        <w:szCs w:val="18"/>
      </w:rPr>
      <w:t>.</w:t>
    </w:r>
  </w:p>
  <w:p w14:paraId="1F042B0F" w14:textId="77777777" w:rsidR="00E406C1" w:rsidRPr="00E406C1" w:rsidRDefault="00E406C1" w:rsidP="00E406C1">
    <w:pPr>
      <w:tabs>
        <w:tab w:val="left" w:pos="1974"/>
        <w:tab w:val="left" w:pos="2892"/>
      </w:tabs>
      <w:ind w:right="360"/>
      <w:jc w:val="both"/>
    </w:pPr>
    <w:bookmarkStart w:id="0" w:name="_Hlk100224955"/>
    <w:bookmarkStart w:id="1" w:name="_Hlk207193742"/>
    <w:r w:rsidRPr="00E406C1">
      <w:rPr>
        <w:rFonts w:ascii="Calibri" w:hAnsi="Calibri" w:cs="Calibri"/>
        <w:i/>
        <w:sz w:val="18"/>
        <w:szCs w:val="18"/>
      </w:rPr>
      <w:t>Dobava električnih, osebnih vozil z nizkimi emisijami in tovornih vozil</w:t>
    </w:r>
    <w:bookmarkEnd w:id="1"/>
    <w:r w:rsidRPr="00E406C1">
      <w:rPr>
        <w:rFonts w:ascii="Calibri" w:hAnsi="Calibri" w:cs="Calibri"/>
        <w:i/>
        <w:sz w:val="18"/>
        <w:szCs w:val="18"/>
      </w:rPr>
      <w:t xml:space="preserve">, </w:t>
    </w:r>
    <w:bookmarkEnd w:id="0"/>
    <w:r w:rsidRPr="00E406C1">
      <w:rPr>
        <w:rFonts w:ascii="Calibri" w:hAnsi="Calibri" w:cs="Calibri"/>
        <w:i/>
        <w:sz w:val="18"/>
        <w:szCs w:val="18"/>
      </w:rPr>
      <w:t>št. JN25-017</w:t>
    </w:r>
  </w:p>
  <w:p w14:paraId="5D1F7492" w14:textId="77777777" w:rsidR="0019036F" w:rsidRDefault="001903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BCAB" w14:textId="77777777" w:rsidR="0019036F" w:rsidRDefault="0019036F" w:rsidP="0019036F">
      <w:r>
        <w:separator/>
      </w:r>
    </w:p>
  </w:footnote>
  <w:footnote w:type="continuationSeparator" w:id="0">
    <w:p w14:paraId="1B9A9B1F" w14:textId="77777777" w:rsidR="0019036F" w:rsidRDefault="0019036F" w:rsidP="00190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6F"/>
    <w:rsid w:val="0019036F"/>
    <w:rsid w:val="002C616A"/>
    <w:rsid w:val="006B3AE5"/>
    <w:rsid w:val="00942715"/>
    <w:rsid w:val="00C91010"/>
    <w:rsid w:val="00DC1E61"/>
    <w:rsid w:val="00E10138"/>
    <w:rsid w:val="00E406C1"/>
    <w:rsid w:val="00EB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B604"/>
  <w15:chartTrackingRefBased/>
  <w15:docId w15:val="{00FFB0B1-92D5-4F6B-A533-F080A5C6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036F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9036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9036F"/>
    <w:rPr>
      <w:rFonts w:ascii="Verdana" w:eastAsia="Arial Unicode MS" w:hAnsi="Verdana" w:cs="Arial Unicode MS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19036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9036F"/>
    <w:rPr>
      <w:rFonts w:ascii="Verdana" w:eastAsia="Arial Unicode MS" w:hAnsi="Verdana" w:cs="Arial Unicode MS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3DA6EE-E6E3-43A3-ACCE-1FF2A9A10F9E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3F084C1A-8A58-4FC3-81F4-E695C81D0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36253B-6573-4DF3-AEF1-DDFD27B3D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Elektro Gorenjska, d. d.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Staša Kostič</cp:lastModifiedBy>
  <cp:revision>4</cp:revision>
  <dcterms:created xsi:type="dcterms:W3CDTF">2025-07-25T08:21:00Z</dcterms:created>
  <dcterms:modified xsi:type="dcterms:W3CDTF">2025-08-27T12:09:00Z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